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1C" w:rsidRPr="00530D1C" w:rsidRDefault="00530D1C" w:rsidP="00530D1C">
      <w:pPr>
        <w:shd w:val="clear" w:color="auto" w:fill="FFFFFF"/>
        <w:spacing w:before="161" w:after="161" w:line="240" w:lineRule="auto"/>
        <w:ind w:left="269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lang w:eastAsia="ru-RU"/>
        </w:rPr>
      </w:pPr>
      <w:r w:rsidRPr="00530D1C">
        <w:rPr>
          <w:rFonts w:ascii="Times New Roman" w:eastAsia="Times New Roman" w:hAnsi="Times New Roman" w:cs="Times New Roman"/>
          <w:b/>
          <w:bCs/>
          <w:color w:val="22272F"/>
          <w:kern w:val="36"/>
          <w:lang w:eastAsia="ru-RU"/>
        </w:rPr>
        <w:t>Приложение N 2. Календарь профилактических прививок по эпидемическим показаниям</w:t>
      </w:r>
    </w:p>
    <w:p w:rsidR="00530D1C" w:rsidRPr="00530D1C" w:rsidRDefault="00530D1C" w:rsidP="00530D1C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bookmarkStart w:id="0" w:name="text"/>
      <w:bookmarkEnd w:id="0"/>
      <w:r w:rsidRPr="00530D1C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Приложение 2 изменено с 1 сентября 2024 г. - </w:t>
      </w:r>
      <w:hyperlink r:id="rId4" w:anchor="block_1002" w:history="1">
        <w:r w:rsidRPr="00530D1C">
          <w:rPr>
            <w:rFonts w:ascii="Times New Roman" w:eastAsia="Times New Roman" w:hAnsi="Times New Roman" w:cs="Times New Roman"/>
            <w:color w:val="3272C0"/>
            <w:sz w:val="17"/>
            <w:u w:val="single"/>
            <w:lang w:eastAsia="ru-RU"/>
          </w:rPr>
          <w:t>Приказ</w:t>
        </w:r>
      </w:hyperlink>
      <w:r w:rsidRPr="00530D1C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 Минздрава России от 12 декабря 2023 г. N 677Н</w:t>
      </w:r>
    </w:p>
    <w:p w:rsidR="00530D1C" w:rsidRPr="00530D1C" w:rsidRDefault="00530D1C" w:rsidP="00530D1C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hyperlink r:id="rId5" w:anchor="/document/0/block/2000" w:history="1">
        <w:r w:rsidRPr="00530D1C">
          <w:rPr>
            <w:rFonts w:ascii="Times New Roman" w:eastAsia="Times New Roman" w:hAnsi="Times New Roman" w:cs="Times New Roman"/>
            <w:color w:val="3272C0"/>
            <w:sz w:val="17"/>
            <w:u w:val="single"/>
            <w:lang w:eastAsia="ru-RU"/>
          </w:rPr>
          <w:t>См. предыдущ</w:t>
        </w:r>
        <w:r w:rsidRPr="00530D1C">
          <w:rPr>
            <w:rFonts w:ascii="Times New Roman" w:eastAsia="Times New Roman" w:hAnsi="Times New Roman" w:cs="Times New Roman"/>
            <w:color w:val="3272C0"/>
            <w:sz w:val="17"/>
            <w:u w:val="single"/>
            <w:lang w:eastAsia="ru-RU"/>
          </w:rPr>
          <w:t>у</w:t>
        </w:r>
        <w:r w:rsidRPr="00530D1C">
          <w:rPr>
            <w:rFonts w:ascii="Times New Roman" w:eastAsia="Times New Roman" w:hAnsi="Times New Roman" w:cs="Times New Roman"/>
            <w:color w:val="3272C0"/>
            <w:sz w:val="17"/>
            <w:u w:val="single"/>
            <w:lang w:eastAsia="ru-RU"/>
          </w:rPr>
          <w:t>ю редакцию</w:t>
        </w:r>
      </w:hyperlink>
    </w:p>
    <w:p w:rsidR="00530D1C" w:rsidRPr="00530D1C" w:rsidRDefault="00530D1C" w:rsidP="00530D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r w:rsidRPr="00530D1C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Приложение N 2</w:t>
      </w:r>
      <w:r w:rsidRPr="00530D1C">
        <w:rPr>
          <w:rFonts w:ascii="Times New Roman" w:eastAsia="Times New Roman" w:hAnsi="Times New Roman" w:cs="Times New Roman"/>
          <w:b/>
          <w:bCs/>
          <w:color w:val="22272F"/>
          <w:sz w:val="17"/>
          <w:szCs w:val="17"/>
          <w:lang w:eastAsia="ru-RU"/>
        </w:rPr>
        <w:br/>
      </w:r>
      <w:r w:rsidRPr="00530D1C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к </w:t>
      </w:r>
      <w:hyperlink r:id="rId6" w:history="1">
        <w:r w:rsidRPr="00530D1C">
          <w:rPr>
            <w:rFonts w:ascii="Times New Roman" w:eastAsia="Times New Roman" w:hAnsi="Times New Roman" w:cs="Times New Roman"/>
            <w:b/>
            <w:bCs/>
            <w:color w:val="3272C0"/>
            <w:sz w:val="17"/>
            <w:u w:val="single"/>
            <w:lang w:eastAsia="ru-RU"/>
          </w:rPr>
          <w:t>приказу</w:t>
        </w:r>
      </w:hyperlink>
      <w:r w:rsidRPr="00530D1C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 Министерства здравоохранения</w:t>
      </w:r>
      <w:r w:rsidRPr="00530D1C">
        <w:rPr>
          <w:rFonts w:ascii="Times New Roman" w:eastAsia="Times New Roman" w:hAnsi="Times New Roman" w:cs="Times New Roman"/>
          <w:b/>
          <w:bCs/>
          <w:color w:val="22272F"/>
          <w:sz w:val="17"/>
          <w:szCs w:val="17"/>
          <w:lang w:eastAsia="ru-RU"/>
        </w:rPr>
        <w:br/>
      </w:r>
      <w:r w:rsidRPr="00530D1C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Российской Федерации</w:t>
      </w:r>
      <w:r w:rsidRPr="00530D1C">
        <w:rPr>
          <w:rFonts w:ascii="Times New Roman" w:eastAsia="Times New Roman" w:hAnsi="Times New Roman" w:cs="Times New Roman"/>
          <w:b/>
          <w:bCs/>
          <w:color w:val="22272F"/>
          <w:sz w:val="17"/>
          <w:szCs w:val="17"/>
          <w:lang w:eastAsia="ru-RU"/>
        </w:rPr>
        <w:br/>
      </w:r>
      <w:r w:rsidRPr="00530D1C">
        <w:rPr>
          <w:rFonts w:ascii="Times New Roman" w:eastAsia="Times New Roman" w:hAnsi="Times New Roman" w:cs="Times New Roman"/>
          <w:b/>
          <w:bCs/>
          <w:color w:val="22272F"/>
          <w:sz w:val="17"/>
          <w:lang w:eastAsia="ru-RU"/>
        </w:rPr>
        <w:t>от 6 декабря 2021 г. N 1122н</w:t>
      </w:r>
    </w:p>
    <w:p w:rsidR="00530D1C" w:rsidRPr="00530D1C" w:rsidRDefault="00530D1C" w:rsidP="00530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</w:pPr>
      <w:r w:rsidRPr="00530D1C">
        <w:rPr>
          <w:rFonts w:ascii="Times New Roman" w:eastAsia="Times New Roman" w:hAnsi="Times New Roman" w:cs="Times New Roman"/>
          <w:color w:val="22272F"/>
          <w:sz w:val="16"/>
          <w:szCs w:val="16"/>
          <w:lang w:eastAsia="ru-RU"/>
        </w:rPr>
        <w:t> </w:t>
      </w:r>
    </w:p>
    <w:p w:rsidR="00530D1C" w:rsidRPr="00530D1C" w:rsidRDefault="00530D1C" w:rsidP="00530D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lang w:eastAsia="ru-RU"/>
        </w:rPr>
      </w:pPr>
      <w:r w:rsidRPr="00530D1C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t>Календарь</w:t>
      </w:r>
      <w:r w:rsidRPr="00530D1C">
        <w:rPr>
          <w:rFonts w:ascii="Times New Roman" w:eastAsia="Times New Roman" w:hAnsi="Times New Roman" w:cs="Times New Roman"/>
          <w:b/>
          <w:bCs/>
          <w:color w:val="22272F"/>
          <w:lang w:eastAsia="ru-RU"/>
        </w:rPr>
        <w:br/>
        <w:t>профилактических прививок по эпидемическим показаниям</w:t>
      </w:r>
    </w:p>
    <w:p w:rsidR="00530D1C" w:rsidRPr="00530D1C" w:rsidRDefault="00530D1C" w:rsidP="00530D1C">
      <w:pPr>
        <w:pBdr>
          <w:bottom w:val="dotted" w:sz="4" w:space="0" w:color="3272C0"/>
        </w:pBdr>
        <w:shd w:val="clear" w:color="auto" w:fill="FFFFFF"/>
        <w:spacing w:after="215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17"/>
          <w:szCs w:val="17"/>
          <w:lang w:eastAsia="ru-RU"/>
        </w:rPr>
      </w:pPr>
      <w:r w:rsidRPr="00530D1C">
        <w:rPr>
          <w:rFonts w:ascii="Times New Roman" w:eastAsia="Times New Roman" w:hAnsi="Times New Roman" w:cs="Times New Roman"/>
          <w:b/>
          <w:bCs/>
          <w:color w:val="3272C0"/>
          <w:sz w:val="17"/>
          <w:szCs w:val="17"/>
          <w:lang w:eastAsia="ru-RU"/>
        </w:rPr>
        <w:t xml:space="preserve">С изменениями и дополнениями </w:t>
      </w:r>
      <w:proofErr w:type="gramStart"/>
      <w:r w:rsidRPr="00530D1C">
        <w:rPr>
          <w:rFonts w:ascii="Times New Roman" w:eastAsia="Times New Roman" w:hAnsi="Times New Roman" w:cs="Times New Roman"/>
          <w:b/>
          <w:bCs/>
          <w:color w:val="3272C0"/>
          <w:sz w:val="17"/>
          <w:szCs w:val="17"/>
          <w:lang w:eastAsia="ru-RU"/>
        </w:rPr>
        <w:t>от</w:t>
      </w:r>
      <w:proofErr w:type="gramEnd"/>
      <w:r w:rsidRPr="00530D1C">
        <w:rPr>
          <w:rFonts w:ascii="Times New Roman" w:eastAsia="Times New Roman" w:hAnsi="Times New Roman" w:cs="Times New Roman"/>
          <w:b/>
          <w:bCs/>
          <w:color w:val="3272C0"/>
          <w:sz w:val="17"/>
          <w:szCs w:val="17"/>
          <w:lang w:eastAsia="ru-RU"/>
        </w:rPr>
        <w:t>:</w:t>
      </w:r>
    </w:p>
    <w:p w:rsidR="00530D1C" w:rsidRPr="00530D1C" w:rsidRDefault="00530D1C" w:rsidP="00530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r w:rsidRPr="00530D1C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12 декабря 2023 г.</w:t>
      </w:r>
    </w:p>
    <w:p w:rsidR="00530D1C" w:rsidRPr="00530D1C" w:rsidRDefault="00530D1C" w:rsidP="00530D1C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</w:pPr>
      <w:r w:rsidRPr="00530D1C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См. </w:t>
      </w:r>
      <w:hyperlink r:id="rId7" w:anchor="block_900" w:history="1">
        <w:r w:rsidRPr="00530D1C">
          <w:rPr>
            <w:rFonts w:ascii="Times New Roman" w:eastAsia="Times New Roman" w:hAnsi="Times New Roman" w:cs="Times New Roman"/>
            <w:color w:val="3272C0"/>
            <w:sz w:val="17"/>
            <w:u w:val="single"/>
            <w:lang w:eastAsia="ru-RU"/>
          </w:rPr>
          <w:t>Порядок</w:t>
        </w:r>
      </w:hyperlink>
      <w:r w:rsidRPr="00530D1C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 проведения профилактических прививок по эпидемическим показаниям, приведенный в Методических указаниях </w:t>
      </w:r>
      <w:hyperlink r:id="rId8" w:history="1">
        <w:r w:rsidRPr="00530D1C">
          <w:rPr>
            <w:rFonts w:ascii="Times New Roman" w:eastAsia="Times New Roman" w:hAnsi="Times New Roman" w:cs="Times New Roman"/>
            <w:color w:val="3272C0"/>
            <w:sz w:val="17"/>
            <w:u w:val="single"/>
            <w:lang w:eastAsia="ru-RU"/>
          </w:rPr>
          <w:t>МУ 3.3.1889-04</w:t>
        </w:r>
      </w:hyperlink>
      <w:r w:rsidRPr="00530D1C">
        <w:rPr>
          <w:rFonts w:ascii="Times New Roman" w:eastAsia="Times New Roman" w:hAnsi="Times New Roman" w:cs="Times New Roman"/>
          <w:color w:val="464C55"/>
          <w:sz w:val="17"/>
          <w:szCs w:val="17"/>
          <w:lang w:eastAsia="ru-RU"/>
        </w:rPr>
        <w:t>, утвержденных Главным государственным санитарным врачом РФ 4 марта 2004 г.</w:t>
      </w: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6"/>
        <w:gridCol w:w="2932"/>
        <w:gridCol w:w="6437"/>
      </w:tblGrid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after="0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N</w:t>
            </w: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br/>
            </w:r>
            <w:proofErr w:type="spellStart"/>
            <w:proofErr w:type="gramStart"/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п</w:t>
            </w:r>
            <w:proofErr w:type="spellEnd"/>
            <w:proofErr w:type="gramEnd"/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/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п</w:t>
            </w:r>
            <w:proofErr w:type="spellEnd"/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Наименование профилактической прививки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Категории граждан, подлежащих обязательной вакцинации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туляремии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проживающие на энзоотичных по туляремии территориях, а также прибывшие на эти территории лица, выполняющие следующие работы: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- сельскохозяйственные, гидромелиоративные, строительные, другие работы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дератизационные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 дезинсекционные;</w:t>
            </w:r>
            <w:proofErr w:type="gramEnd"/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работающие с живыми культурами возбудителя туляремии.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2.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чумы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after="0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Лица, временно или постоянно </w:t>
            </w:r>
            <w:proofErr w:type="spellStart"/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находящееся</w:t>
            </w:r>
            <w:proofErr w:type="gram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fldChar w:fldCharType="begin"/>
            </w: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instrText xml:space="preserve"> HYPERLINK "https://base.garant.ru/3100000/" </w:instrText>
            </w: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fldChar w:fldCharType="separate"/>
            </w:r>
            <w:r w:rsidRPr="00530D1C">
              <w:rPr>
                <w:rFonts w:ascii="Times New Roman" w:eastAsia="Times New Roman" w:hAnsi="Times New Roman" w:cs="Times New Roman"/>
                <w:color w:val="3272C0"/>
                <w:sz w:val="17"/>
                <w:lang w:eastAsia="ru-RU"/>
              </w:rPr>
              <w:t>#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fldChar w:fldCharType="end"/>
            </w: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 территории природного очага, при осложнении эпизоотической и эпидемиологической обстановки. Лица, работающие с живыми культурами возбудителя чумы.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3.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бруцеллеза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очагах козье-овечьего типа бруцеллеза лица, выполняющие следующие работы: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по заготовке, хранению, обработке сырья и продуктов животноводства, полученных из хозяйств,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где регистрируются заболевания скота бруцеллезом;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по убою скота, больного бруцеллезом, заготовке и переработке полученных от него мяса и мясопродуктов.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Животноводы, ветеринарные работники, зоотехники в хозяйствах, энзоотичных по бруцеллезу.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работающие с живыми культурами возбудителя бруцеллеза.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4.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сибирской язвы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выполняющие следующие работы: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- ветеринарные работники и другие лица, профессионально занятые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предубойным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содержанием скота, а также убоем, снятием шкур и разделкой туш;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сбор, хранение, транспортировка и первичная обработка сырья животного происхождения;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 на энзоотичных по сибирской язве территориях.</w:t>
            </w:r>
            <w:proofErr w:type="gramEnd"/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работающие с материалом, подозрительным на инфицирование возбудителем сибирской язвы.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5.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бешенства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 профилактической целью вакцинируют следующих лиц, имеющих высокий риск заражения бешенством: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работающие с "уличным" вирусом бешенства;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ветеринарные работники; егеря, охотники, лесники;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выполняющие работы по отлову и содержанию животных.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6.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лептоспироза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выполняющие следующие работы: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по заготовке, хранению, обработке сырья и продуктов животноводства, полученных из хозяйств, расположенных на энзоотичных по лептоспирозу территориях;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по убою скота, больного лептоспирозом, заготовке и переработке мяса и мясопродуктов, полученных от больных лептоспирозом животных;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по отлову и содержанию безнадзорных животных. Лица, работающие с живыми культурами возбудителя лептоспироза.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lastRenderedPageBreak/>
              <w:t>7.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клещевого вирусного энцефалита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Лица, проживающие на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эндемичных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 клещевому вирусному энцефалиту территориях, лица, выезжающие на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эндемичные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 клещевому вирусному энцефалиту территории, а также прибывшие на эти территории лица, выполняющие следующие работы: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- сельскохозяйственные, гидромелиоративные, строительные, по выемке и перемещению грунта, заготовительные, промысловые, геологические, изыскательские, экспедиционные,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дератизационные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 дезинсекционные;</w:t>
            </w:r>
            <w:proofErr w:type="gramEnd"/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по лесозаготовке, расчистке и благоустройству леса, зон оздоровления и отдыха населения.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работающие с живыми культурами возбудителя клещевого энцефалита.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8.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Против лихорадки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Ку</w:t>
            </w:r>
            <w:proofErr w:type="spellEnd"/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Лица, выполняющие работы по заготовке, хранению, обработке сырья и продуктов животноводства, полученных из хозяйств, где регистрируются заболевания лихорадкой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Ку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Лица, выполняющие работы по заготовке, хранению и переработке сельскохозяйственной продукции на энзоотичных территориях по лихорадке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Ку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Лица, работающие с живыми культурами возбудителей лихорадки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Ку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9.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желтой лихорадки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выезжающие за пределы Российской Федерации в энзоотичные по желтой лихорадке страны (регионы). Лица, работающие с живыми культурами возбудителя желтой лихорадки.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10.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холеры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выезжающие в неблагополучные по холере страны (регионы).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Население субъектов Российской Федерации в случае осложнения санитарно-эпидемиологической обстановки по холере в сопредельных странах, а также на территории Российской Федерации.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11.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брюшного тифа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занятые в сфере коммунального благоустройства (работники, обслуживающие канализационные сети, сооружения и оборудование, а также организаций, осуществляющих санитарную очистку населенных мест, сбор, транспортировку и утилизацию бытовых отходов).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работающие с живыми культурами возбудителей брюшного тифа.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Население, проживающее на территориях с хроническими водными эпидемиями брюшного тифа. Лица, выезжающие в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гиперэндемичные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по брюшному тифу страны (регионы).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Контактные лица в очагах брюшного тифа по эпидемическим показаниям.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 эпидемическим показаниям прививки проводят при угрозе возникновения эпидемии или вспышки брюшного тифа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12.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вирусного гепатита</w:t>
            </w: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</w:t>
            </w:r>
            <w:proofErr w:type="gramEnd"/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проживающие в регионах, неблагополучных по заболеваемости вирусным гепатитом</w:t>
            </w: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а также лица, подверженные профессиональному риску заражения (медицинские работники, работники сферы обслуживания населения, занятые на предприятиях пищевой промышленности, а также обслуживающие водопроводные и канализационные сооружения, оборудование и сети).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выезжающие в неблагополучные страны (регионы), где регистрируется вспышечная заболеваемость вирусным гепатитом А. Контактные лица в очагах вирусного гепатита А.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 эпидемическим показаниям прививки проводятся при угрозе возникновения эпидемии или вспышки вирусного гепатита</w:t>
            </w: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(стихийные бедствия, крупные аварии на водопроводной и канализационной сети).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13.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Против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шигеллезов</w:t>
            </w:r>
            <w:proofErr w:type="spellEnd"/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Работники медицинских организаций (их структурных подразделений) инфекционного профиля.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занятые в сфере общественного питания и коммунального благоустройства.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Дети, посещающие дошкольные образовательные организации и отъезжающие в организации, осуществляющие лечение, оздоровление и (или) отдых (по показаниям).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По эпидемическим показаниям прививки проводятся при угрозе возникновения эпидемии или вспышки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шигеллезов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(стихийные бедствия, крупные аварии на водопроводной и канализационной сети), а также в период эпидемии, при этом в угрожаемом регионе проводят массовую вакцинацию населения. Профилактические прививки предпочтительно проводить перед сезонным подъемом заболеваемости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шигеллезами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14.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менингококковой инфекции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Дети и взрослые в очагах менингококковой инфекции, вызванной менингококками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серогрупп</w:t>
            </w:r>
            <w:proofErr w:type="spellEnd"/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</w:t>
            </w:r>
            <w:proofErr w:type="gram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или С. Вакцинация проводится в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эндемичных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регионах, а также в случае эпидемии, вызванной менингококками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серогрупп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А или С.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Лица, подлежащие призыву на военную службу.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15.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кори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Контактные лица без ограничения возраста из очагов заболевания, ранее не болевшие, не привитые и не имеющие сведений о профилактических прививках против кори, </w:t>
            </w: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или однократно привитые старше 6 лет.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lastRenderedPageBreak/>
              <w:t>16.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вирусного гепатита</w:t>
            </w: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</w:t>
            </w:r>
            <w:proofErr w:type="gramEnd"/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вирусного гепатита В.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17.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дифтерии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Контактные лица из очагов заболевания, не болевшие, не привитые и не имеющие сведений о профилактических прививках против дифтерии.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18.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эпидемического паротита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Контактные лица из очагов заболевания, ранее не болевшие, не привитые или не имеющие сведений о профилактических прививках против эпидемического паротита, или однократно привитые старше 6 лет.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19.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полиомиелита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Контактные лица в очагах полиомиелита, в том числе вызванного </w:t>
            </w: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диким</w:t>
            </w:r>
            <w:proofErr w:type="gram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полиовирусом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(или при подозрении на заболевание):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дети с 3 месяцев до 15 лет при наличии достоверных данных о предшествующих прививках - однократно;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медицинские работники - однократно;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- дети, прибывшие из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эндемичных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(неблагополучных) по полиомиелиту стран (регионов),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 лица без определенного места жительства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(при их выявлении) с 3 месяцев до 15 лет - однократно (при наличии достоверных данных о предшествующих прививках) или трехкратно (при их отсутствии);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- лица, контактировавшие с </w:t>
            </w: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прибывшими</w:t>
            </w:r>
            <w:proofErr w:type="gram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из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эндемичных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(неблагополучных) по полиомиелиту стран (регионов),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 3 месяцев жизни без ограничения возраста - однократно инактивированной полиомиелитной вакциной;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- лица, работающие с живым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полиовирусом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с материалами, инфицированными (потенциально инфицированными) </w:t>
            </w:r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диким</w:t>
            </w:r>
            <w:proofErr w:type="gram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полиовирусом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без ограничения возраста - однократно при приеме на работу.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20.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пневмококковой инфекции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в возрасте от 2 до 5 лет, взрослые, относящиеся к группам риска (лица, подлежащие призыву на военную службу, лица старше 60 лет, страдающие хроническими заболеваниями легких, лица старше трудоспособного возраста, проживающие в организациях социального обслуживания).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21.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Против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ротавирусной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инфекции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Дети для активной вакцинации с целью профилактики заболеваний, вызываемых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ротавирусами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22.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Против ветряной оспы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Дети и взрослые из групп риска, включая лиц, подлежащих призыву на военную службу, ранее не привитые и не болевшие ветряной оспой.</w:t>
            </w:r>
          </w:p>
        </w:tc>
      </w:tr>
      <w:tr w:rsidR="00530D1C" w:rsidRPr="00530D1C" w:rsidTr="00530D1C">
        <w:tc>
          <w:tcPr>
            <w:tcW w:w="8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23.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Против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гемофильной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инфекции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Дети, не привитые на первом году жизни против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гемофильной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инфекции.</w:t>
            </w:r>
          </w:p>
        </w:tc>
      </w:tr>
      <w:tr w:rsidR="00530D1C" w:rsidRPr="00530D1C" w:rsidTr="00530D1C"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jc w:val="center"/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color w:val="464C55"/>
                <w:sz w:val="17"/>
                <w:szCs w:val="17"/>
                <w:lang w:eastAsia="ru-RU"/>
              </w:rPr>
              <w:t>24.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Против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коронавирусной</w:t>
            </w:r>
            <w:proofErr w:type="spellEnd"/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инфекции, вызываемой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вирусом SARS-CoV-2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Лица старше 18 лет, ранее не болевшие и/или не привитые против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коронавирусной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инфекции, вызываемой вирусом SARS-CoV-2;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 в возрасте 60 лет и старше;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лица с хроническими заболеваниями, в том числе с заболеваниями 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бронхолегочной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системы, туберкулезом, </w:t>
            </w:r>
            <w:proofErr w:type="spellStart"/>
            <w:proofErr w:type="gram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сердечно-сосудистыми</w:t>
            </w:r>
            <w:proofErr w:type="spellEnd"/>
            <w:proofErr w:type="gram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заболеваниями, сахарным диабетом и ожирением;</w:t>
            </w:r>
          </w:p>
          <w:p w:rsidR="00530D1C" w:rsidRPr="00530D1C" w:rsidRDefault="00530D1C" w:rsidP="00530D1C">
            <w:pPr>
              <w:spacing w:before="54" w:after="54" w:line="240" w:lineRule="auto"/>
              <w:ind w:left="54" w:right="54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лица с первичными или вторичными иммунодефицитами, в том числе ВИЧ-инфекцией, аутоиммунными заболеваниями, онкологическими/</w:t>
            </w:r>
            <w:proofErr w:type="spellStart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онкогематологическими</w:t>
            </w:r>
            <w:proofErr w:type="spellEnd"/>
            <w:r w:rsidRPr="00530D1C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заболеваниями.</w:t>
            </w:r>
          </w:p>
        </w:tc>
      </w:tr>
    </w:tbl>
    <w:p w:rsidR="005F58C8" w:rsidRDefault="00530D1C"/>
    <w:sectPr w:rsidR="005F58C8" w:rsidSect="00627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30D1C"/>
    <w:rsid w:val="00530D1C"/>
    <w:rsid w:val="00627522"/>
    <w:rsid w:val="00F50C2A"/>
    <w:rsid w:val="00F7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522"/>
  </w:style>
  <w:style w:type="paragraph" w:styleId="1">
    <w:name w:val="heading 1"/>
    <w:basedOn w:val="a"/>
    <w:link w:val="10"/>
    <w:uiPriority w:val="9"/>
    <w:qFormat/>
    <w:rsid w:val="00530D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530D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D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30D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22">
    <w:name w:val="s_22"/>
    <w:basedOn w:val="a"/>
    <w:rsid w:val="0053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0D1C"/>
    <w:rPr>
      <w:color w:val="0000FF"/>
      <w:u w:val="single"/>
    </w:rPr>
  </w:style>
  <w:style w:type="paragraph" w:customStyle="1" w:styleId="indent1">
    <w:name w:val="indent_1"/>
    <w:basedOn w:val="a"/>
    <w:rsid w:val="0053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30D1C"/>
  </w:style>
  <w:style w:type="paragraph" w:customStyle="1" w:styleId="empty">
    <w:name w:val="empty"/>
    <w:basedOn w:val="a"/>
    <w:rsid w:val="0053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53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53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53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3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530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91">
    <w:name w:val="s_91"/>
    <w:basedOn w:val="a0"/>
    <w:rsid w:val="00530D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4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6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6697">
                      <w:marLeft w:val="0"/>
                      <w:marRight w:val="0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86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87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395019">
                          <w:marLeft w:val="0"/>
                          <w:marRight w:val="0"/>
                          <w:marTop w:val="0"/>
                          <w:marBottom w:val="2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18078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4180785/2e76ddadd60d1d630670592181f8298b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403258640/" TargetMode="External"/><Relationship Id="rId5" Type="http://schemas.openxmlformats.org/officeDocument/2006/relationships/hyperlink" Target="https://ivo.garant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ase.garant.ru/408458069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1614</Words>
  <Characters>9202</Characters>
  <Application>Microsoft Office Word</Application>
  <DocSecurity>0</DocSecurity>
  <Lines>76</Lines>
  <Paragraphs>21</Paragraphs>
  <ScaleCrop>false</ScaleCrop>
  <Company/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Козьмина Анастасия Владимировна</dc:creator>
  <cp:lastModifiedBy> </cp:lastModifiedBy>
  <cp:revision>1</cp:revision>
  <dcterms:created xsi:type="dcterms:W3CDTF">2024-09-11T13:32:00Z</dcterms:created>
  <dcterms:modified xsi:type="dcterms:W3CDTF">2024-09-11T13:51:00Z</dcterms:modified>
</cp:coreProperties>
</file>